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15 40 vom 30. November 2015</w:t>
      </w:r>
    </w:p>
    <w:p>
      <w:r>
        <w:t>VS Kantonsgericht, 2015-11-30, FR</w:t>
      </w:r>
    </w:p>
    <w:p>
      <w:r>
        <w:rPr>
          <w:b/>
        </w:rPr>
        <w:t xml:space="preserve">Quelle: </w:t>
      </w:r>
      <w:r>
        <w:t>https://mcp.opencaselaw.ch/entscheid/vs_gerichte_P3 15 40</w:t>
      </w:r>
    </w:p>
    <w:p>
      <w:r>
        <w:t>FR: VS_GERICHTE P3 15 40 du 30 novembre 2015</w:t>
      </w:r>
    </w:p>
    <w:p>
      <w:r>
        <w:t>IT: VS_GERICHTE P3 15 40 del 30 novembre 2015</w:t>
      </w:r>
    </w:p>
    <w:p>
      <w:pPr>
        <w:pStyle w:val="Heading2"/>
      </w:pPr>
      <w:r>
        <w:t>Regeste</w:t>
      </w:r>
    </w:p>
    <w:p>
      <w:r>
        <w:t>P3 15 40 P3 15 47 P3 15 48 P3 15 49 P3 15 50 P3 15 51 ORDONNANCE DU 30 NOVEMBRE 2015 Tribunal cantonal du Valais Chambre pénale Jacques Berthouzoz, juge ; Frédéric Carron, greffier en la cause entre S_________, recourant, représenté par Maître M_________ et T_________, recourant, représenté par Maître N_________ et U_________, recourant, représenté par Maître O_________</w:t>
      </w:r>
    </w:p>
    <w:p>
      <w:pPr>
        <w:pStyle w:val="Heading2"/>
      </w:pPr>
      <w:r>
        <w:t>Erwägungen</w:t>
      </w:r>
    </w:p>
    <w:p>
      <w:r>
        <w:rPr>
          <w:b/>
        </w:rPr>
        <w:t>E. 1</w:t>
      </w:r>
    </w:p>
    <w:p>
      <w:r>
        <w:t>Etant donné leur étroit rapport de connexité, les procédures P3 15 40, P3 15 47, P3 15 48, P3 15 49, P3 15 50 et P3 15 51 sont jointes (art. 30 CPP).</w:t>
      </w:r>
    </w:p>
    <w:p>
      <w:r>
        <w:rPr>
          <w:b/>
        </w:rPr>
        <w:t>E. 2.1</w:t>
      </w:r>
    </w:p>
    <w:p>
      <w:r>
        <w:t>Un recours peut être formé devant un juge unique de la Chambre pénale contre l’ordonnance de classement du procureur (art. 322 al. 2 et 393 al. 1 let. a CPP, 20 al. 3 LOJ et 13 al. 1 LACPP). Sont notamment susceptibles d’être invoquées la violation du droit, y compris l’excès et l’abus du pouvoir d’appréciation (art. 393 al. 2 let. a CPP), ainsi que la constatation incomplète ou erronée des faits (let. b). L’autorité de recours n’a en principe à connaître que de ce qui lui est soumis (arrêt 6B_207/2014 du 2 février 2015 consid. 5.2 et la référence citée), de sorte qu’elle n’examine que les griefs soulevés, dès lors que le recours doit être motivé (RVJ 2014 p. 200 consid. 1 et la référence citée). Si l’autorité admet le recours, elle rend une nouvelle décision ou annule la décision attaquée et la renvoie à l’autorité inférieure qui statue (art. 397 al. 2 CPP). Si elle admet un recours contre une ordonnance de classement, elle peut donner des instructions au ministère public quant à la suite de la procédure (al. 3).</w:t>
      </w:r>
    </w:p>
    <w:p>
      <w:r>
        <w:rPr>
          <w:b/>
        </w:rPr>
        <w:t>E. 2.2</w:t>
      </w:r>
    </w:p>
    <w:p>
      <w:r>
        <w:t>En l’espèce, S_________, T_________, U_________, V_________, W_________ et X_________ ont qualité pour recourir, dès lors qu’ils sont prévenus (art. 104 al. 1 let. a et 111 al. 1 CPP), respectivement partie plaignante (art. 104 al. 1 let. b et 118 al. 1 CPP), et qu’ils ont un intérêt juridiquement protégé à l’annulation de l’ordonnance de classement (art. 382 al. 1 CPP). Leurs recours, qui ont été adressés dans le délai de dix jours dès la notification écrite de l’ordonnance litigieuse (art. 90 al. 1 et 2, 91 al. 1 et 2, 384 let. b et 396 al. 1 CPP) et qui respectent par ailleurs les conditions de motivation et de forme (art. 385 al. 1 et 396 al. 1 CPP), sont donc recevables.</w:t>
      </w:r>
    </w:p>
    <w:p>
      <w:r>
        <w:rPr>
          <w:b/>
        </w:rPr>
        <w:t>E. 3</w:t>
      </w:r>
    </w:p>
    <w:p>
      <w:r>
        <w:t>Dans son écriture du 25 février 2015, U_________ demande, à titre de preuves complémentaires, son audition, ainsi que l’édition par l’office central du ministère public de son dossier P2 02 168.</w:t>
      </w:r>
    </w:p>
    <w:p>
      <w:r>
        <w:rPr>
          <w:b/>
        </w:rPr>
        <w:t>E. 3.1</w:t>
      </w:r>
    </w:p>
    <w:p>
      <w:r>
        <w:t>Le recours au sens des art. 393 ss CPP fait l’objet d’une procédure écrite (art. 397 al. 1 CPP). Le recourant n’a donc pas de prétention à la tenue de débats (arrêt 6B_1200/2013 du 1er mai 2014 consid. 4). La procédure de recours se fonde par</w:t>
      </w:r>
    </w:p>
    <w:p>
      <w:r>
        <w:t>- 15 - ailleurs non seulement sur les preuves administrées pendant la procédure préliminaire (art. 389 al. 1 CPP), mais également sur l’ensemble des pièces du dossier (Calame, Commentaire romand, Code de procédure pénale suisse, 2011, n. 4 ad art. 389 CPP). L’autorité de recours administre, d’office ou à la demande d’une partie, les preuves complémentaires nécessaires au traitement du recours (al. 3), à savoir celles qui peuvent avoir une influence sur le sort du litige (Rémy, Commentaire romand, n. 3 ad art. 393 CPP ; sur la possibilité pour le recourant de produire des faits et des moyens de preuve nouveaux devant l’instance de recours, cf. arrêt 1B_768/2012 du 15 janvier 2013 consid. 2.1 et les références citées, en particulier Pitteloud, Code de procédure pénale suisse, 2012, n. 1135 et 1154, qui précise qu’une réserve marquée doit être appliquée dans la mesure où il n’incombe pas à cette autorité de se substituer à celle de poursuite).</w:t>
      </w:r>
    </w:p>
    <w:p>
      <w:r>
        <w:rPr>
          <w:b/>
        </w:rPr>
        <w:t>E. 3.2</w:t>
      </w:r>
    </w:p>
    <w:p>
      <w:r>
        <w:t>En l’occurrence, le dossier P1 2007 90 remis par le procureur général adjoint renseigne suffisamment sur les faits utiles à la solution du recours, comme cela résulte de ce qui suit. Il n’y a donc pas lieu d’auditionner U_________, ni d’ordonner l’édition par le ministère public de son dossier P2 02 168.</w:t>
      </w:r>
    </w:p>
    <w:p>
      <w:r>
        <w:rPr>
          <w:b/>
        </w:rPr>
        <w:t>E. 3.2.1</w:t>
      </w:r>
    </w:p>
    <w:p>
      <w:r>
        <w:t>et l’arrêt cité). 4.2.1 En l’espèce, sur le plan civil, le procureur général adjoint reproche tout d’abord à S_________, T_________ et U_________, en leur qualité de membres du conseil d’administration de Y_________ SA, ainsi qu’à U_________, V_________, W_________ et Z_________, en leur qualité de membres de la direction de l’association B_________, d’avoir violé les obligations légales en matière de comptabilité, de même que celles en lien avec la conservation et la production des livres et pièces comptables. Sur ce premier point, on observe que la décision d’ouverture d’instruction du 8 août 2007, si elle accusait expressément S_________, T_________, U_________, V_________, W_________ et Z_________ d’avoir insuffisamment doté Y_________ SA en capital, de lui avoir fait supporter des dettes supposées et d’avoir fait inscrire à son bilan des créances fictives ou sans valeur, aggravant ainsi son surendettement pour la conduire à la faillite, est par contre muette sur la tenue de la comptabilité de</w:t>
      </w:r>
    </w:p>
    <w:p>
      <w:r>
        <w:t>- 19 - l’association B_________ et de Y_________ SA. D’ailleurs, si tel avait été le cas, ladite décision n’aurait pas manqué de citer la violation de l’obligation de tenir une comptabilité (art. 166 CP), en plus de la gestion déloyale (art. 158 CP), de la diminution effective de l’actif au préjudice des créanciers (art. 164 CP), de la gestion fautive (art. 165 CP), du faux dans les titres (art. 251 CP) et de l’obtention frauduleuse d’une constatation fausse (art. 253 CP). Il n’y a donc pas de relation de causalité adéquate entre, d’une part, le fait reproché maintenant par le procureur général adjoint à S_________, T_________, U_________, V_________, W_________ et Z_________, et, d’autre part, l’ouverture de l’enquête et les frais de procédure qu’elle a provoqués, si bien que le comportement qui leur est imputé ne peut avoir « provoqué l’ouverture de la procédure » au sens de l’art. 426 al. 2 CPP. On relève par ailleurs que la tenue de la comptabilité de l’association B_________ et de Y_________ SA, même déficiente, ne peut constituer une faute procédurale ou une violation d’un devoir procédural clair de la part de S_________, T_________, U_________, V_________, W_________ et Z_________, dès lors que les manquements que le procureur général adjoint leur reproche à ce sujet sont largement antérieurs à l’ouverture d’instruction du 8 août 2007. S_________, T_________, U_________, V_________, W_________ et Z_________ n’ont donc pas pu « rendre plus difficile la conduite de la procédure » au sens où l’entend l’art. 426 al. 2 CPP. Quand bien même les lacunes constatées dans la comptabilité ont entravé la manifestation de la vérité, cet élément n’est ainsi pas à prendre en considération. A cela s’ajoute que, faute pour S_________, T_________, U_________, V_________, W_________ et Z_________ d’avoir été auditionnés sur la question, le dossier ne renseigne pas clairement sur les responsabilités des uns et des autres quant à la tenue de la comptabilité de l’association B_________ et de Y_________ SA, ce qui constitue une raison supplémentaire de ne pas mettre les frais de procédure à leur charge pour ce motif. En particulier, on ignore s’il y a eu délégation (cf. art. 754 al. 2 CO). Enfin, le raisonnement suivi par le procureur général adjoint commanderait, égalité de traitement oblige, que E_________ et F_________ - dont on ignore au demeurant pourquoi elle n’a pas fait l’objet d’une ouverture d’instruction, étant donné les accusations formulées par la masse en faillite Y_________ SA dans sa dénonciation pénale du 22 mars 2005 et reprises par le juge d’instruction dans sa décision du 8 août 2007 -, soient également condamnés aux frais, parce que tous deux membres du conseil d’administration de Y_________ SA du 23 décembre 1999 au 9 juillet 2002, date de la faillite de la société. Or tel n’est pas le cas.</w:t>
      </w:r>
    </w:p>
    <w:p>
      <w:r>
        <w:t>- 20 - 4.2.2 Sur le plan civil, le procureur général adjoint fait ensuite grief à S_________, T_________ et U_________ de n’avoir pas convoqué à temps l’assemblée générale ordinaire des actionnaires de Y_________ SA, puisque les comptes de la société arrêtés au 30 juin 1999 n’ont été approuvés que le 11 août 2000. Sur ce deuxième point, on observe à nouveau que la décision d’ouverture d’instruction du 8 août 2007, si elle accusait expressément S_________, T_________ et U_________, entre autres, d’avoir insuffisamment doté Y_________ SA en capital, de lui avoir fait supporter des dettes supposées et d’avoir fait inscrire à son bilan des créances fictives ou sans valeur, aggravant ainsi son surendettement pour la conduire à la faillite, est en revanche muette sur la tenue des assemblées générales de Y_________ SA. Il en va de même de la dénonciation pénale du 22 mars 2005. Il n’y a donc pas non plus de relation de causalité adéquate entre, d’une part, le fait reproché par le procureur général adjoint à S_________, T_________ et U_________, et, d’autre part, l’ouverture de l’enquête et les frais de procédure qu’elle a provoqués, si bien que le comportement qui leur est imputé ne peut avoir « provoqué l’ouverture de la procédure » au sens de l’art. 426 al. 2 CPP. Le même raisonnement s’applique aux assemblées générales qui auraient été convoquées hors délai après le 11 août 2000, soit à une époque où le conseil d’administration était composé de S_________, E_________ et F_________. 4.2.3 Enfin, toujours sur le plan civil, le procureur général adjoint tance U_________ pour avoir démissionné en temps inopportun de sa fonction d’administrateur de Y_________ SA. Sur ce troisième et dernier point, le même raisonnement que celui développé ci-dessus au considérant 4.2.2 s’impose, étant ajouté que, si U_________ a démissionné en temps inopportun, le 7 décembre 1999, on ne comprend pas pourquoi le même reproche n’est pas fait à T_________, du moment qu’il a donné sa propre démission en tant qu’administrateur le 10 novembre 1999, soit moins d’un mois plus tôt. Quoi qu’il en soit, on ne voit pas ce qui empêchait S_________, qui disposait de la signature individuelle, de convoquer seul et encore à temps l’assemblée générale ordinaire de la société, même après la démission de U_________, au vu des art. 11 al. 1 et 12 al. 1 des statuts (convocation de l’assemblée générale par le conseil d’administration vingt jours au moins avant la date de sa réunion par un avis inséré dans la Feuille officielle suisse du commerce). 4.2.4 Pour le reste, comme on l’a vu, l’instruction a été ouverte contre S_________, T_________, U_________, V_________, W_________ et Z_________, le 8 août 2007, parce qu’ils paraissaient avoir insuffisamment doté Y_________ SA en capital,</w:t>
      </w:r>
    </w:p>
    <w:p>
      <w:r>
        <w:t>- 21 - lui avoir fait supporter des dettes supposées et avoir fait inscrire à son bilan des créances fictives ou sans valeur, aggravant ainsi son surendettement pour la conduire à la faillite. En ce qui concerne tout d’abord l’accusation de dotation insuffisante de Y_________ SA en capital, laquelle pourrait être en relation de causalité adéquate avec les frais de procédure, on relève que le Code des obligations ne prévoit qu’un capital-actions minimum de 100 000 fr., sans imposer que ce dernier soit suffisant pour les affaires de la société. Il n’exige donc pas le respect d’un rapport entre l’activité de la société et le capital dont elle doit disposer. En revanche, il incombe à ceux qui administrent la société de s’assurer qu’elle dispose d’actifs suffisants pour l’exercice de ses activités. Aussi, rien n’empêche un actionnaire, notamment pour des motifs fiscaux, de se contenter du montant minimal du capital-actions prévu par le code et de mettre à disposition de la société les fonds requis par celle-ci, par le biais de prêts et non de contributions en capital (Lombardini/Clemetson, Commentaire romand, Code des obligations II, 2008, n. 6 s. ad art. 621 CO). Cela étant, il ne peut pas être reproché civilement aux fondateurs de Y_________ SA, soit S_________, T_________, U_________, V_________, W_________ et Z_________, d’avoir insuffisamment doté la société en capital lors de sa constitution, le 26 février 1999. De même, il ne peut pas être reproché civilement aux premiers administrateurs de Y_________ SA, à savoir S_________, T_________ et U_________, de ne pas s’être assurés qu’elle disposait d’actifs suffisants pour l’exercice de ses activités, dès lors que, par convention séparée du 26 février 1999, pleinement respectée selon les conclusions de l’expert FF_________ du 6 mars 2009, S_________ et C_________ SA s’étaient tous les deux engagés à verser à la société à constituer les montants conséquents de 475 000 fr., respectivement 325 000 fr., à titre de liquidités pour son suivi à court terme, et que S_________ s’était de plus engagé à lui verser la somme de 1 000 000 fr., dès le 30 juin 1999, à supposer que sa situation financière le demande. S’agissant ensuite de l’accusation - pouvant être également en relation de causalité adéquate avec les frais de procédure - de créances fictives ou sans valeur inscrites au bilan de Y_________ SA, on observe que, de l’avis de FF_________, le montant de 936 211 fr. figurant à l’actif du bilan de la société au 30 juin 1999 sous « c/c B_________ association » aurait dû faire l’objet d’une provision d’environ 650 000 fr. dans les comptes de celle-ci. Aussi, la situation de Y_________ SA aurait alors fait ressortir un surendettement au sens de l’art. 725 al. 2 CO d’environ 1 041 804 fr., même avec la postposition par S_________ de sa créance de</w:t>
      </w:r>
    </w:p>
    <w:p>
      <w:r>
        <w:t>- 22 - 777 697 fr., si bien qu’un avis au juge était nécessaire. A cet égard, si un comportement fautif et contraire à une règle juridique paraît pouvoir entrer en ligne de compte, le dossier ne renseigne par contre pas clairement, une nouvelle fois, sur les responsabilités des uns et des autres quant à l’écriture litigieuse, en particulier s’il y a eu délégation (cf. art. 754 al. 2 CO). Les frais de procédure ne peuvent donc être mis à la charge des administrateurs S_________, T_________ et U_________ pour ce motif. Ils peuvent d’autant moins l’être à la charge de T_________ et U_________ qu’ils ont donné leur démission, le 10 novembre 1999, respectivement le 7 décembre 1999. Or, les comptes de la société arrêtés au 30 juin 1999 n’ont été approuvés par l’assemblée générale des actionnaires de Y_________ SA que le 11 août 2000, soit huit mois plus tard (sur la fin de la responsabilité d’un membre du conseil d’administration, cf. ATF 126 V 61 consid. 4a et les références citées). Au surplus, il serait pour le moins contradictoire de mettre les frais de procédure à la charge du seul S_________ en lien avec le montant de 936 211 fr. figurant à l’actif du bilan de la société au 30 juin 1999 sous « c/c B_________ association », mais pas à celle de E_________ et F_________, alors que tous deux étaient également administrateurs de Y_________ SA, le 11 août 2000. Par rapport à l’accusation - également susceptible d’être en relation de causalité adéquate avec les frais de procédure - de créances fictives ou sans valeur inscrites au bilan de Y_________ SA, on relève que FF_________ retient par ailleurs que la créance de 680 000 fr. envers I_________ n’a jamais figuré dans les comptes annuels de la société, mais seulement à l’actif de son bilan intermédiaire au 31 décembre 2001 destiné à être utilisé dans le cadre de la demande de licence auprès de la Ligue suisse de football. Quand bien même la réévaluation de cette créance n’a pas respecté le principe de sincérité du bilan et les autres règles comptables, d’après les conclusions de l’expert, une faute civile paraît des plus douteuse, du moment que les comptes en question n’ont jamais été révisés par l’organe de révision, ni soumis à l’approbation de l’assemblée générale des actionnaires de Y_________ SA. Les frais de procédure ne peuvent donc pas non plus être mis à la charge des administrateurs S_________, T_________ et U_________ pour ce motif, d’autant que le dossier ne renseigne à nouveau pas clairement sur les responsabilités des uns et des autres quant à l’écriture incriminée, en particulier s’il y a eu délégation (cf. art. 754 al. 2 CO). Les frais peuvent d’autant moins être mis à la charge de T_________ et U_________ que, comme on l’a vu, ils ont donné leur démission, le 10 novembre 1999, respectivement le 7 décembre 1999, soit près de deux ans plus tôt. De plus, il serait inéquitable de mettre les frais de procédure à la charge du seul S_________ en lien avec la créance de 680 000 fr.</w:t>
      </w:r>
    </w:p>
    <w:p>
      <w:r>
        <w:t>- 23 - envers I_________, mais pas à celle de E_________ et F_________, pourtant tous deux administrateurs de la société en 2001 et 2002, jusqu’au prononcé de sa faillite. Relativement au bilan de Y_________ SA au 30 avril 2002, lui aussi susceptible d’être en relation de causalité adéquate avec les frais de procédure, FF_________ fait encore remarquer qu’il n’est pas un bilan annuel établi par le conseil d’administration, révisé par l’organe de révision et soumis à l’approbation de l’assemblée générale des actionnaires, mais une situation interne ponctuelle résultant de l’impression de fiches comptables. Selon lui, il n’y a donc pas eu de réévaluation du compte « business seats » de 1 fr. à 1 000 001 fr., mais simplement une présentation différente dans la comptabilité de la société. Cette constatation suffit à exclure, sans plus ample examen, la mise des frais de procédure à la charge des administrateurs S_________, T_________ et U_________, faute à l’évidence de tout comportement illicite et fautif pouvant leur être imputé à ce titre. Enfin, pour FF_________, Y_________ SA était surendettée au 30 juin 2000, de sorte qu’un avis au juge était nécessaire. A ce sujet, si un comportement fautif et contraire à une règle juridique paraît pouvoir entrer en ligne de compte, force est cependant de retenir qu’il n’est pas en relation de causalité adéquate avec les frais de procédure, au vu de la décision d’ouverture d’instruction du 8 août 2007. En outre, il serait une nouvelle fois injuste de mettre les frais de procédure à la charge du seul S_________ pour ce manquement, alors que ni E_________ ni F_________ n’ont été condamnés aux frais, bien qu’étant alors également tous deux administrateurs de la société. Quant au surendettement de Y_________ SA aux 30 juin 2001 et 30 juin 2002, l’expert n’est pas catégorique. Il ne s’agit donc pas de faits incontestés ou clairement établis. 4.2.5 Sur le vu de ce qui précède, c’est donc en violation de l’art. 426 al. 2 CPP que les frais de procédure ont été mis à la charge de S_________, T_________, U_________, V_________, W_________ et Z_________. Par application de l’art. 423 al. 1 CPP, ils doivent être intégralement mis à la charge de l’Etat du Valais, quand bien même Z_________ n’a pas recouru contre l’ordonnance de classement du 20 février 2015. En effet, l’admission des recours de S_________, T_________, U_________, V_________ et W_________ profite à Z_________, dès lors que la Chambre pénale juge différemment les faits et que ses considérants peuvent être étendus en sa faveur (cf. art. 392 al. 1 CPP), sans qu’il soit nécessaire d’entendre préalablement les intéressés (cf. art. 392 al. 2 CPP ; Lieber, Kommentar zur Schweizerischen Strafprozessordnung (StPO), 2e éd., 2014, n. 8 ad art. 392 CPP). La mise des frais à la charge de l’Etat du Valais s’impose d’autant plus que la procédure a connu des</w:t>
      </w:r>
    </w:p>
    <w:p>
      <w:r>
        <w:t>- 24 - lenteurs inadmissibles, contraires au principe de célérité consacré par les art. 5 al. 1 CPP et 29 al. 1 Cst., dont les recourants ont dû pâtir, notamment entre le 22 mars 2005, date de la dénonciation pénale de la masse en faillite Y_________ SA, et le 18 janvier 2007, date de l’audition de V_________ par la police cantonale comme suspect, ce qu’a déjà constaté l’autorité de céans dans sa décision du 18 juin 2007, ainsi qu’entre le 18 mars 2010, date à laquelle FF_________ a été invité à compléter son rapport d’expertise, et le 16 septembre 2014, date à laquelle le procureur général adjoint a informé les parties de la clôture prochaine de l’instruction et de son intention de rendre une ordonnance de classement. L’Etat du Valais devant supporter les frais de procédure, c’est en conséquence à tort que le procureur général adjoint a refusé, sans plus ample examen, d’octroyer à S_________, T_________, U_________, V_________, W_________ et Z_________ une indemnité pour les dépenses occasionnées par l’exercice raisonnable de leurs droits de procédure, voire une indemnité pour le dommage économique subi au titre de leur participation obligatoire à la procédure pénale ou une réparation du tort moral subi en raison d’une atteinte particulièrement grave à leur personnalité. Afin de respecter le principe de la double instance, le dossier lui est donc renvoyé pour qu’il statue sur les prétentions respectives de S_________, T_________, U_________, V_________ et W_________, ainsi que sur celles de Z_________ (cf. art. 392 al. 1 CPP). Enfin, S_________, T_________, U_________, V_________, W_________, Z_________, E_________ et AA_________ n’étant pas astreints au paiement des frais conformément à l’art. 426 al. 2 CPP, X_________ et la masse en faillite Y_________ SA, qui n’obtiennent pas gain de cause dès lors que leurs prétentions civiles ne sont pas admises et que les prévenus ne sont pas condamnés (cf. arrêt 6B_495/2014 du</w:t>
      </w:r>
    </w:p>
    <w:p>
      <w:r>
        <w:rPr>
          <w:b/>
        </w:rPr>
        <w:t>E. 4</w:t>
      </w:r>
    </w:p>
    <w:p>
      <w:r>
        <w:t>S_________, T_________, U_________, V_________ et W_________ contestent tout d’abord la mise à leur charge des frais de procédure. De même, ils se plaignent qu’aucune indemnité pour les dépenses occasionnées par l’exercice raisonnable de leurs droits de procédure ne leur ait été octroyée. 4.1.1 Le sort des frais de procédure à l’issue de celle-ci est régi par les art. 422 ss CPP. En principe, ils sont mis à la charge de la Confédération ou du canton qui a conduit la procédure, les dispositions contraires du CPP étant réservées (art. 423 al. 1 CPP ; arrêt 6B_439/2013 du 19 juillet 2013 consid. 1.1). Ainsi, selon l’art. 426 al. 2 CPP, lorsque la procédure fait l’objet d’une ordonnance de classement, que le prévenu est acquitté ou en cas d’extinction de l’action pénale consécutivement au retrait par le plaignant de sa plainte (arrêt 6B_832/2014 du 24 avril 2015 consid. 1.2), tout ou partie des frais de procédure peuvent être mis à la charge du prévenu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w:t>
      </w:r>
    </w:p>
    <w:p>
      <w:r>
        <w:t>- 16 -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116 Ia 162 consid.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1b ; 116 la 162 consid. 2c). Le fait reproché doit constituer une violation claire de la norme de comportement (ATF 119 la 332 consid. 1b ; 116 la 162 consid. 2d). Il doit par ailleurs être incontesté ou déjà clairement établi (ATF 112 Ia 371 consid. 2a). L’acte répréhensible n’a pas à être commis intentionnellement. La négligence suffit, sans qu’il y ait besoin qu’elle soit grossière (ATF 109 Ia 160 consid. 4a). Le fait reproché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En cas d’acquittement partiel, la jurisprudence a reconnu qu’une certaine marge d’appréciation devait être laissée à l’autorité parce qu’il est difficile de déterminer avec exactitude les frais qui relèvent de chaque fait imputable ou non au condamné (arrêts 6B_218/2013 du 13 juin 2013 consid. 5.2 ; 6B_45/2011 du 12 septembre 2011 consid. 3.1). Ce principe doit également valoir dans le cas où seule une partie des faits pour lesquels le poursuivi a bénéficié d’un acquittement constitue un comportement fautif contraire à une règle juridique (arrêts 6B_950/2014 du 18 septembre 2015 consid. 1.2 ; 6B_1008/2013 du 27 mars 2014 consid. 1.2). La mise des frais à la charge du prévenu, parce qu’il a rendu plus difficile la conduite de la procédure, suppose quant à elle la violation d’un devoir procédural clair (Schmid, Schweizerische Strafprozessordnung, Praxiskommentar, 2e éd., 2013, n. 6 ad art. 426</w:t>
      </w:r>
    </w:p>
    <w:p>
      <w:r>
        <w:t>- 17 - CPP), en d’autres termes une « faute procédurale » de sa part (Chapuis, Commentaire romand, n. 2 ad art. 426 CPP). Sur la base des principes précités, la jurisprudence a régulièrement admis qu’un comportement contraire à une disposition légale autre que celles du Code pénal peut, sans violation de la présomption d’innocence, être retenu pour justifier la mise à charge des frais, même si l’action pénale pour l’infraction correspondante n’a pas abouti à une condamnation (arrêt 1B_377/2012 du 25 juin 2013 consid. 2.1.1 et les arrêts cités). L’interdiction de la reformatio in pejus, consacrée par l’art. 391 al. 2 CPP, prohibe la pénalisation de la situation d’une partie par une décision défavorable rendue à la suite d’un recours émanant uniquement de celle-ci. L’interdiction s’attache au dispositif de la décision. Pour ce qui a trait à des prétentions pécuniaires, l’autorité de recours peut modifier la qualification juridique qui les sous-tend, mais en revanche ne saurait réduire le montant fixé dans le dispositif de première instance au détriment de la partie qui a seule interjeté un recours (arrêt 6B_875/2013 du 7 avril 2014 consid. 3.2.3 et la référence citée). 4.1.2 Aux termes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(al. 2). Toutefois, l’autorité pénale peut réduire ou refuser cette indemnité si le prévenu a provoqué illicitement et fautivement l’ouverture de la procédure ou a rendu plus difficile la conduite de celle-ci (art. 430 al. 1 let. a CPP). La question de l’indemnisation du prévenu (art. 429 CPP) doit être traitée en relation avec celle des frais (art. 426 CPP). Si le prévenu supporte les frais en application de l’art. 426 al. 1 ou 2 CPP, une indemnité est en règle générale exclue, dès lors que l’obligation de supporter les frais et l’octroi d’une indemnité s’excluent réciproquement. En revanche, si l’Etat supporte les frais de la procédure pénale, le prévenu a en principe droit à une indemnité selon l’art. 429 CPP (ATF 137 IV 352 consid. 2.4.2). En cas de classement partiel ou d’acquittement partiel, le principe doit être relativisé. Si le prévenu est libéré d’un chef d’accusation et condamné pour un autre, il sera</w:t>
      </w:r>
    </w:p>
    <w:p>
      <w:r>
        <w:t>- 18 - condamné aux frais relatifs à sa condamnation et aura respectivement droit à une indemnité correspondant à son acquittement partiel (arrêt 6B_391/2014 du 18 septembre 2014 consid. 2.2 et les références citées). Il est donc concevable d’indemniser, dans une mesure réduite, le prévenu qui doit supporter l’ensemble des frais de justice (arrêt 6B_300/2012 du 10 juin 2013 consid. 2.4 et la référence citée).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(arrêt 6B_391/2014 du 18 septembre 2014 consid. 2.2 et l’arrêt cité). Lorsque la condamnation aux frais n’est que partielle, la réduction de l’indemnité devrait s’opérer dans la même mesure (arrêts 6B_184/2013 du 1er octobre 2013 consid. 8.3 ; 6B_439/2013 du 19 juillet 2013 consid. 2.1 et les références citées). Ainsi, lorsque les frais de procédure sont mis pour moitié à la charge de l’Etat en raison de l’acquittement du prévenu, l’allocation d’une demi- indemnité à titre de dépens est appropriée (arrêt 6B_439/2013 du 19 juillet 2013 consid. 2.1 et l’arrêt cité). En la matière, les autorités cantonales jouissent d’un large pouvoir d’appréciation (arrêt 6B_300/2012 du 10 juin 2013 consid. 2.5 et l’arrêt cité). Le Tribunal fédéral s’est penché à plusieurs reprises sur la problématique du droit transitoire en matière d’indemnité. Il a jugé que les frais de défense relevaient directement de l’art. 429 al. 1 let. a CPP (arrêt 6B_875/2013 du 7 avril 2014 consid.</w:t>
      </w:r>
    </w:p>
    <w:p>
      <w:r>
        <w:rPr>
          <w:b/>
        </w:rPr>
        <w:t>E. 6</w:t>
      </w:r>
    </w:p>
    <w:p>
      <w:r>
        <w:t>Il n’est pas alloué d’indemnité à U_________, X_________ et la masse en faillite Y_________ SA pour leurs dépenses occasionnées par la procédure de recours.</w:t>
      </w:r>
    </w:p>
    <w:p>
      <w:r>
        <w:rPr>
          <w:b/>
        </w:rPr>
        <w:t>E. 7</w:t>
      </w:r>
    </w:p>
    <w:p>
      <w:r>
        <w:t>La présente ordonnance est communiquée aux parties et à Z_________.</w:t>
      </w:r>
    </w:p>
    <w:p>
      <w:r>
        <w:t>Sion, le 30 novembre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